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23" w:rsidRPr="00380CE5" w:rsidRDefault="00BE1323" w:rsidP="00BE1323">
      <w:pPr>
        <w:pStyle w:val="Tittel"/>
        <w:jc w:val="center"/>
        <w:rPr>
          <w:rFonts w:ascii="Verdana" w:hAnsi="Verdana"/>
          <w:color w:val="000000" w:themeColor="text1"/>
          <w:sz w:val="22"/>
          <w:szCs w:val="22"/>
        </w:rPr>
      </w:pPr>
      <w:r w:rsidRPr="00380CE5">
        <w:rPr>
          <w:rFonts w:ascii="Verdana" w:hAnsi="Verdana"/>
          <w:color w:val="000000" w:themeColor="text1"/>
          <w:sz w:val="22"/>
          <w:szCs w:val="22"/>
        </w:rPr>
        <w:t>Bransjenorm</w:t>
      </w:r>
    </w:p>
    <w:p w:rsidR="00BE1323" w:rsidRPr="00380CE5" w:rsidRDefault="00BE1323" w:rsidP="00BE1323">
      <w:pPr>
        <w:pStyle w:val="Tittel"/>
        <w:jc w:val="center"/>
        <w:rPr>
          <w:rFonts w:ascii="Verdana" w:hAnsi="Verdana"/>
          <w:color w:val="000000" w:themeColor="text1"/>
          <w:sz w:val="22"/>
          <w:szCs w:val="22"/>
        </w:rPr>
      </w:pPr>
      <w:r w:rsidRPr="00380CE5">
        <w:rPr>
          <w:rFonts w:ascii="Verdana" w:hAnsi="Verdana"/>
          <w:color w:val="000000" w:themeColor="text1"/>
          <w:sz w:val="22"/>
          <w:szCs w:val="22"/>
        </w:rPr>
        <w:t>mellom</w:t>
      </w:r>
    </w:p>
    <w:p w:rsidR="00BE1323" w:rsidRPr="00380CE5" w:rsidRDefault="00BE1323" w:rsidP="00BE1323">
      <w:pPr>
        <w:pStyle w:val="Tittel"/>
        <w:jc w:val="center"/>
        <w:rPr>
          <w:rFonts w:ascii="Verdana" w:hAnsi="Verdana"/>
          <w:color w:val="000000" w:themeColor="text1"/>
          <w:sz w:val="22"/>
          <w:szCs w:val="22"/>
        </w:rPr>
      </w:pPr>
      <w:r w:rsidRPr="00380CE5">
        <w:rPr>
          <w:rFonts w:ascii="Verdana" w:hAnsi="Verdana"/>
          <w:color w:val="000000" w:themeColor="text1"/>
          <w:sz w:val="22"/>
          <w:szCs w:val="22"/>
        </w:rPr>
        <w:t>Bygningsforsikringsselskaper</w:t>
      </w:r>
    </w:p>
    <w:p w:rsidR="00BE1323" w:rsidRPr="00380CE5" w:rsidRDefault="00BE1323" w:rsidP="00BE1323">
      <w:pPr>
        <w:pStyle w:val="Tittel"/>
        <w:jc w:val="center"/>
        <w:rPr>
          <w:rFonts w:ascii="Verdana" w:hAnsi="Verdana"/>
          <w:color w:val="000000" w:themeColor="text1"/>
          <w:sz w:val="22"/>
          <w:szCs w:val="22"/>
        </w:rPr>
      </w:pPr>
      <w:r w:rsidRPr="00380CE5">
        <w:rPr>
          <w:rFonts w:ascii="Verdana" w:hAnsi="Verdana"/>
          <w:color w:val="000000" w:themeColor="text1"/>
          <w:sz w:val="22"/>
          <w:szCs w:val="22"/>
        </w:rPr>
        <w:t>og</w:t>
      </w:r>
    </w:p>
    <w:p w:rsidR="00BE1323" w:rsidRPr="00D82B83" w:rsidRDefault="00BE1323" w:rsidP="00BE1323">
      <w:pPr>
        <w:pStyle w:val="Tittel"/>
        <w:jc w:val="center"/>
        <w:rPr>
          <w:rFonts w:ascii="Verdana" w:hAnsi="Verdana"/>
          <w:sz w:val="22"/>
          <w:szCs w:val="22"/>
        </w:rPr>
      </w:pPr>
      <w:r w:rsidRPr="00380CE5">
        <w:rPr>
          <w:rFonts w:ascii="Verdana" w:hAnsi="Verdana"/>
          <w:color w:val="000000" w:themeColor="text1"/>
          <w:sz w:val="22"/>
          <w:szCs w:val="22"/>
        </w:rPr>
        <w:t>Eierskifteforsikringsselskaper</w:t>
      </w:r>
    </w:p>
    <w:p w:rsidR="00BE1323" w:rsidRPr="00D82B83" w:rsidRDefault="00BE1323" w:rsidP="00BE1323">
      <w:pPr>
        <w:spacing w:after="0"/>
        <w:rPr>
          <w:rFonts w:ascii="Verdana" w:hAnsi="Verdana"/>
        </w:rPr>
      </w:pPr>
    </w:p>
    <w:p w:rsidR="00BE1323" w:rsidRPr="00380CE5" w:rsidRDefault="00BE1323" w:rsidP="00BE1323">
      <w:pPr>
        <w:pStyle w:val="Overskrift2"/>
        <w:rPr>
          <w:rFonts w:ascii="Verdana" w:hAnsi="Verdana"/>
          <w:color w:val="365F91" w:themeColor="accent1" w:themeShade="BF"/>
          <w:sz w:val="22"/>
          <w:szCs w:val="22"/>
        </w:rPr>
      </w:pPr>
      <w:r w:rsidRPr="00380CE5">
        <w:rPr>
          <w:rFonts w:ascii="Verdana" w:hAnsi="Verdana"/>
          <w:color w:val="365F91" w:themeColor="accent1" w:themeShade="BF"/>
          <w:sz w:val="22"/>
          <w:szCs w:val="22"/>
        </w:rPr>
        <w:t>1. Hva bransjenormen gjelder og avtalens formål</w:t>
      </w:r>
    </w:p>
    <w:p w:rsidR="00BE1323" w:rsidRPr="008F1587" w:rsidRDefault="00BE1323" w:rsidP="00BE1323">
      <w:pPr>
        <w:spacing w:after="0"/>
        <w:rPr>
          <w:rFonts w:ascii="Verdana" w:hAnsi="Verdana"/>
        </w:rPr>
      </w:pPr>
      <w:r w:rsidRPr="008F1587">
        <w:rPr>
          <w:rFonts w:ascii="Verdana" w:hAnsi="Verdana"/>
        </w:rPr>
        <w:t xml:space="preserve">Bransjenormen regulerer saksbehandling av krav som rettes av selger eller kjøper av en bygning hvor det er tegnet både bygningsforsikring og eierskifteforsikring i forbindelse med salg av boligen. </w:t>
      </w:r>
    </w:p>
    <w:p w:rsidR="00BE1323" w:rsidRPr="008F1587" w:rsidRDefault="00BE1323" w:rsidP="00BE1323">
      <w:pPr>
        <w:spacing w:after="0"/>
        <w:rPr>
          <w:rFonts w:ascii="Verdana" w:hAnsi="Verdana"/>
        </w:rPr>
      </w:pPr>
    </w:p>
    <w:p w:rsidR="00BE1323" w:rsidRPr="008F1587" w:rsidRDefault="00BE1323" w:rsidP="00BE1323">
      <w:pPr>
        <w:spacing w:after="0"/>
        <w:rPr>
          <w:rFonts w:ascii="Verdana" w:hAnsi="Verdana"/>
        </w:rPr>
      </w:pPr>
      <w:r w:rsidRPr="008F1587">
        <w:rPr>
          <w:rFonts w:ascii="Verdana" w:hAnsi="Verdana"/>
        </w:rPr>
        <w:t xml:space="preserve">Formålet med bransjenormen er å sikre at kravstiller ikke blir en ”kasteball” mellom selskapene. Bransjenormen skal sikre at alle krav blir realitetsbehandlet av alle selskap som får kravet fremmet mot seg. Bransjenormen skal sikre at regress mellom selskapene først blir fremmet etter at kravstillers krav er blitt realitetsbehandlet. </w:t>
      </w:r>
    </w:p>
    <w:p w:rsidR="00BE1323" w:rsidRPr="00D82B83" w:rsidRDefault="00BE1323" w:rsidP="00BE1323">
      <w:pPr>
        <w:spacing w:after="0"/>
        <w:rPr>
          <w:rFonts w:ascii="Verdana" w:hAnsi="Verdana"/>
        </w:rPr>
      </w:pPr>
    </w:p>
    <w:p w:rsidR="00BE1323" w:rsidRPr="00380CE5" w:rsidRDefault="00BE1323" w:rsidP="00BE1323">
      <w:pPr>
        <w:pStyle w:val="Overskrift2"/>
        <w:rPr>
          <w:rFonts w:ascii="Verdana" w:hAnsi="Verdana"/>
          <w:color w:val="365F91" w:themeColor="accent1" w:themeShade="BF"/>
          <w:sz w:val="22"/>
          <w:szCs w:val="22"/>
        </w:rPr>
      </w:pPr>
      <w:r w:rsidRPr="00380CE5">
        <w:rPr>
          <w:rFonts w:ascii="Verdana" w:hAnsi="Verdana"/>
          <w:color w:val="365F91" w:themeColor="accent1" w:themeShade="BF"/>
          <w:sz w:val="22"/>
          <w:szCs w:val="22"/>
        </w:rPr>
        <w:t>2. Krav om å realitetsbehandle alle krav som fremmes</w:t>
      </w:r>
    </w:p>
    <w:p w:rsidR="00BE1323" w:rsidRPr="008F1587" w:rsidRDefault="00BE1323" w:rsidP="00BE1323">
      <w:pPr>
        <w:spacing w:after="0"/>
        <w:rPr>
          <w:rFonts w:ascii="Verdana" w:hAnsi="Verdana"/>
        </w:rPr>
      </w:pPr>
      <w:r w:rsidRPr="008F1587">
        <w:rPr>
          <w:rFonts w:ascii="Verdana" w:hAnsi="Verdana"/>
        </w:rPr>
        <w:t>Både bygningsselskapene og eierskifteforsikringsselskapene forplikter seg til å realitetsbehandle alle krav som selger eller kjøper av boligen retter mot selskapet. Med realitetsbehandling menes at selskapet uten ugrunnet opphold skal ta skriftlig stilling til om selskapet er ansvarlig for det fremsatte krav, og gi kravstiller en skriftlig begrunnelse for sitt standpunkt.</w:t>
      </w:r>
    </w:p>
    <w:p w:rsidR="00BE1323" w:rsidRPr="008F1587" w:rsidRDefault="00BE1323" w:rsidP="00BE1323">
      <w:pPr>
        <w:spacing w:after="0"/>
        <w:rPr>
          <w:rFonts w:ascii="Verdana" w:hAnsi="Verdana"/>
        </w:rPr>
      </w:pPr>
    </w:p>
    <w:p w:rsidR="00BE1323" w:rsidRPr="00D82B83" w:rsidRDefault="00BE1323" w:rsidP="00BE1323">
      <w:pPr>
        <w:spacing w:after="0"/>
        <w:rPr>
          <w:rFonts w:ascii="Verdana" w:hAnsi="Verdana"/>
        </w:rPr>
      </w:pPr>
      <w:r w:rsidRPr="00D82B83">
        <w:rPr>
          <w:rFonts w:ascii="Verdana" w:hAnsi="Verdana"/>
        </w:rPr>
        <w:t xml:space="preserve">Dersom selskapet etter realitetsbehandlingen mener at selskapet er uten ansvar, kan det kort henvise kravstiller til den forsikring som selskapet mener kan ha et ansvar i saken. </w:t>
      </w:r>
    </w:p>
    <w:p w:rsidR="00BE1323" w:rsidRPr="008F1587" w:rsidRDefault="00BE1323" w:rsidP="00BE1323">
      <w:pPr>
        <w:rPr>
          <w:rFonts w:ascii="Verdana" w:hAnsi="Verdana"/>
        </w:rPr>
      </w:pPr>
    </w:p>
    <w:p w:rsidR="00BE1323" w:rsidRPr="008F1587" w:rsidRDefault="00BE1323" w:rsidP="00BE1323">
      <w:pPr>
        <w:pStyle w:val="Overskrift2"/>
        <w:rPr>
          <w:rFonts w:ascii="Verdana" w:hAnsi="Verdana"/>
          <w:color w:val="auto"/>
          <w:sz w:val="22"/>
          <w:szCs w:val="22"/>
        </w:rPr>
      </w:pPr>
      <w:r w:rsidRPr="00380CE5">
        <w:rPr>
          <w:rFonts w:ascii="Verdana" w:hAnsi="Verdana"/>
          <w:color w:val="365F91" w:themeColor="accent1" w:themeShade="BF"/>
          <w:sz w:val="22"/>
          <w:szCs w:val="22"/>
        </w:rPr>
        <w:t>3. Regress</w:t>
      </w:r>
    </w:p>
    <w:p w:rsidR="00BE1323" w:rsidRPr="008F1587" w:rsidRDefault="00BE1323" w:rsidP="00BE1323">
      <w:pPr>
        <w:spacing w:after="0"/>
        <w:rPr>
          <w:rFonts w:ascii="Verdana" w:hAnsi="Verdana"/>
        </w:rPr>
      </w:pPr>
      <w:r w:rsidRPr="008F1587">
        <w:rPr>
          <w:rFonts w:ascii="Verdana" w:hAnsi="Verdana"/>
        </w:rPr>
        <w:t xml:space="preserve">Selskapene forbeholder seg rett til regress for enhver utbetaling under forsikringen. Selskapet skal varsle at regresskrav kan bli reist </w:t>
      </w:r>
      <w:r w:rsidRPr="00BE1323">
        <w:rPr>
          <w:rFonts w:ascii="Verdana" w:hAnsi="Verdana" w:cs="Arial"/>
        </w:rPr>
        <w:t>innen rimelig tid</w:t>
      </w:r>
      <w:r w:rsidRPr="008F1587">
        <w:rPr>
          <w:rFonts w:ascii="Verdana" w:hAnsi="Verdana"/>
        </w:rPr>
        <w:t xml:space="preserve"> etter at selskapet er blitt kjent med det forhold som kan begrunne kravet, men regresskravet skal først fremmes i et etter</w:t>
      </w:r>
      <w:r w:rsidR="00712668">
        <w:rPr>
          <w:rFonts w:ascii="Verdana" w:hAnsi="Verdana"/>
        </w:rPr>
        <w:t>-</w:t>
      </w:r>
      <w:bookmarkStart w:id="0" w:name="_GoBack"/>
      <w:bookmarkEnd w:id="0"/>
      <w:r w:rsidRPr="008F1587">
        <w:rPr>
          <w:rFonts w:ascii="Verdana" w:hAnsi="Verdana"/>
        </w:rPr>
        <w:t xml:space="preserve">oppgjør mellom selskapene. </w:t>
      </w:r>
    </w:p>
    <w:p w:rsidR="00BE1323" w:rsidRPr="00D82B83" w:rsidRDefault="00BE1323" w:rsidP="00BE1323">
      <w:pPr>
        <w:rPr>
          <w:rFonts w:ascii="Verdana" w:hAnsi="Verdana"/>
        </w:rPr>
      </w:pPr>
    </w:p>
    <w:p w:rsidR="00BE1323" w:rsidRPr="00BE1323" w:rsidRDefault="00BE1323" w:rsidP="00BE1323">
      <w:pPr>
        <w:pStyle w:val="Overskrift2"/>
        <w:rPr>
          <w:rFonts w:ascii="Verdana" w:hAnsi="Verdana"/>
          <w:color w:val="365F91" w:themeColor="accent1" w:themeShade="BF"/>
          <w:sz w:val="22"/>
          <w:szCs w:val="22"/>
        </w:rPr>
      </w:pPr>
      <w:r w:rsidRPr="00BE1323">
        <w:rPr>
          <w:rFonts w:ascii="Verdana" w:hAnsi="Verdana"/>
          <w:color w:val="365F91" w:themeColor="accent1" w:themeShade="BF"/>
          <w:sz w:val="22"/>
          <w:szCs w:val="22"/>
        </w:rPr>
        <w:t>4. Når en skade skal anses inntruffet</w:t>
      </w:r>
    </w:p>
    <w:p w:rsidR="00BE1323" w:rsidRPr="00D82B83" w:rsidRDefault="00BE1323" w:rsidP="00BE1323">
      <w:pPr>
        <w:spacing w:after="0"/>
        <w:rPr>
          <w:rFonts w:ascii="Verdana" w:hAnsi="Verdana"/>
        </w:rPr>
      </w:pPr>
      <w:r w:rsidRPr="00D82B83">
        <w:rPr>
          <w:rFonts w:ascii="Verdana" w:hAnsi="Verdana"/>
        </w:rPr>
        <w:t xml:space="preserve">En skade skal anses inntruffet på det tidspunkt skaden første gang materialiserte seg selv om skaden først avdekkes på et senere tidspunkt. En skade har materialisert seg på det tidspunkt det objektivt sett har oppstått en fysisk forringelse av bygningen. </w:t>
      </w:r>
    </w:p>
    <w:p w:rsidR="00BE1323" w:rsidRPr="00D82B83" w:rsidRDefault="00BE1323" w:rsidP="00BE1323">
      <w:pPr>
        <w:spacing w:after="0"/>
        <w:rPr>
          <w:rFonts w:ascii="Verdana" w:hAnsi="Verdana"/>
        </w:rPr>
      </w:pPr>
    </w:p>
    <w:p w:rsidR="00BE1323" w:rsidRPr="00D82B83" w:rsidRDefault="00BE1323" w:rsidP="00BE1323">
      <w:pPr>
        <w:spacing w:after="0"/>
        <w:rPr>
          <w:rFonts w:ascii="Verdana" w:hAnsi="Verdana"/>
        </w:rPr>
      </w:pPr>
      <w:r w:rsidRPr="00D82B83">
        <w:rPr>
          <w:rFonts w:ascii="Verdana" w:hAnsi="Verdana"/>
        </w:rPr>
        <w:t xml:space="preserve">I spørsmålet om når skaden faktisk og rettslig har inntruffet, skal vanlige bevisvurderingsregler gjelde. </w:t>
      </w:r>
    </w:p>
    <w:p w:rsidR="00BE1323" w:rsidRPr="00D82B83" w:rsidRDefault="00BE1323" w:rsidP="00BE1323">
      <w:pPr>
        <w:spacing w:after="0"/>
        <w:rPr>
          <w:rFonts w:ascii="Verdana" w:hAnsi="Verdana"/>
        </w:rPr>
      </w:pPr>
    </w:p>
    <w:p w:rsidR="00BE1323" w:rsidRPr="00D82B83" w:rsidRDefault="00BE1323" w:rsidP="00BE1323">
      <w:pPr>
        <w:spacing w:after="0"/>
        <w:rPr>
          <w:rFonts w:ascii="Verdana" w:hAnsi="Verdana"/>
        </w:rPr>
      </w:pPr>
    </w:p>
    <w:p w:rsidR="00BE1323" w:rsidRPr="00BE1323" w:rsidRDefault="00BE1323" w:rsidP="00BE1323">
      <w:pPr>
        <w:pStyle w:val="Overskrift2"/>
        <w:rPr>
          <w:rFonts w:ascii="Verdana" w:hAnsi="Verdana"/>
          <w:color w:val="365F91" w:themeColor="accent1" w:themeShade="BF"/>
          <w:sz w:val="22"/>
          <w:szCs w:val="22"/>
        </w:rPr>
      </w:pPr>
      <w:r w:rsidRPr="00BE1323">
        <w:rPr>
          <w:rFonts w:ascii="Verdana" w:hAnsi="Verdana"/>
          <w:color w:val="365F91" w:themeColor="accent1" w:themeShade="BF"/>
          <w:sz w:val="22"/>
          <w:szCs w:val="22"/>
        </w:rPr>
        <w:t>5. Tvisteløsning</w:t>
      </w:r>
    </w:p>
    <w:p w:rsidR="00BE1323" w:rsidRPr="00D82B83" w:rsidRDefault="00BE1323" w:rsidP="00BE1323">
      <w:pPr>
        <w:spacing w:after="0"/>
        <w:rPr>
          <w:rFonts w:ascii="Verdana" w:hAnsi="Verdana"/>
        </w:rPr>
      </w:pPr>
      <w:r w:rsidRPr="00D82B83">
        <w:rPr>
          <w:rFonts w:ascii="Verdana" w:hAnsi="Verdana"/>
        </w:rPr>
        <w:t>Tvist om regressrett mellom selskapene avgjøres ved de ordinære domsstoler med mindre partene er enige om løse tvisten ved voldgift.</w:t>
      </w:r>
    </w:p>
    <w:p w:rsidR="00BE1323" w:rsidRPr="00D82B83" w:rsidRDefault="00BE1323" w:rsidP="00BE1323">
      <w:pPr>
        <w:spacing w:after="0"/>
        <w:rPr>
          <w:rFonts w:ascii="Verdana" w:hAnsi="Verdana" w:cs="Vrinda"/>
        </w:rPr>
      </w:pPr>
    </w:p>
    <w:p w:rsidR="00BE1323" w:rsidRPr="00D82B83" w:rsidRDefault="00BE1323" w:rsidP="00BE1323">
      <w:pPr>
        <w:rPr>
          <w:rFonts w:ascii="Verdana" w:hAnsi="Verdana" w:cs="Vrinda"/>
        </w:rPr>
      </w:pPr>
      <w:r w:rsidRPr="00D82B83">
        <w:rPr>
          <w:rFonts w:ascii="Verdana" w:hAnsi="Verdana" w:cs="Vrinda"/>
        </w:rPr>
        <w:t>Bransjenormen skal evalueres innen utgangen av 2015.</w:t>
      </w:r>
    </w:p>
    <w:p w:rsidR="00BE1323" w:rsidRDefault="00BE1323" w:rsidP="00BE1323">
      <w:pPr>
        <w:spacing w:after="0"/>
        <w:rPr>
          <w:rFonts w:ascii="Verdana" w:hAnsi="Verdana"/>
        </w:rPr>
      </w:pPr>
    </w:p>
    <w:p w:rsidR="00BE1323" w:rsidRPr="00D82B83" w:rsidRDefault="00BE1323" w:rsidP="00BE1323">
      <w:pPr>
        <w:spacing w:after="0"/>
        <w:rPr>
          <w:rFonts w:ascii="Verdana" w:hAnsi="Verdana"/>
        </w:rPr>
      </w:pPr>
    </w:p>
    <w:p w:rsidR="002D5F94" w:rsidRDefault="002D5F94"/>
    <w:sectPr w:rsidR="002D5F94" w:rsidSect="005A484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4A" w:rsidRDefault="00E6414A" w:rsidP="00B479AE">
      <w:pPr>
        <w:spacing w:after="0" w:line="240" w:lineRule="auto"/>
      </w:pPr>
      <w:r>
        <w:separator/>
      </w:r>
    </w:p>
  </w:endnote>
  <w:endnote w:type="continuationSeparator" w:id="0">
    <w:p w:rsidR="00E6414A" w:rsidRDefault="00E6414A" w:rsidP="00B47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E" w:rsidRPr="00B479AE" w:rsidRDefault="00B479AE" w:rsidP="00B479AE">
    <w:pPr>
      <w:pStyle w:val="Bunntekst"/>
      <w:jc w:val="right"/>
      <w:rPr>
        <w:sz w:val="20"/>
        <w:szCs w:val="20"/>
      </w:rPr>
    </w:pPr>
    <w:r w:rsidRPr="00B479AE">
      <w:rPr>
        <w:sz w:val="20"/>
        <w:szCs w:val="20"/>
      </w:rPr>
      <w:t>Vedlegg til BRS 06/14 – 07.02.2014</w:t>
    </w:r>
  </w:p>
  <w:p w:rsidR="00B479AE" w:rsidRDefault="00B479AE" w:rsidP="00B479AE">
    <w:pPr>
      <w:pStyle w:val="Bunntekst"/>
      <w:jc w:val="right"/>
      <w:rPr>
        <w:sz w:val="20"/>
        <w:szCs w:val="20"/>
      </w:rPr>
    </w:pPr>
    <w:r w:rsidRPr="00B479AE">
      <w:rPr>
        <w:sz w:val="20"/>
        <w:szCs w:val="20"/>
      </w:rPr>
      <w:t>14-224-6</w:t>
    </w:r>
  </w:p>
  <w:p w:rsidR="00801296" w:rsidRDefault="00466BD6" w:rsidP="00B479AE">
    <w:pPr>
      <w:pStyle w:val="Bunntekst"/>
      <w:jc w:val="right"/>
    </w:pPr>
    <w:r w:rsidRPr="00466BD6">
      <w:rPr>
        <w:noProof/>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7.15pt;margin-top:2.6pt;width:486pt;height:.05pt;z-index:251664384" o:connectortype="straight" strokecolor="#80a1b6"/>
      </w:pict>
    </w:r>
    <w:r w:rsidR="00801296" w:rsidRPr="00801296">
      <w:rPr>
        <w:noProof/>
      </w:rPr>
      <w:drawing>
        <wp:anchor distT="0" distB="0" distL="114300" distR="114300" simplePos="0" relativeHeight="251662336" behindDoc="0" locked="0" layoutInCell="1" allowOverlap="1">
          <wp:simplePos x="0" y="0"/>
          <wp:positionH relativeFrom="column">
            <wp:posOffset>2286349</wp:posOffset>
          </wp:positionH>
          <wp:positionV relativeFrom="paragraph">
            <wp:posOffset>144111</wp:posOffset>
          </wp:positionV>
          <wp:extent cx="1254878" cy="211947"/>
          <wp:effectExtent l="19050" t="0" r="3880" b="0"/>
          <wp:wrapNone/>
          <wp:docPr id="3" name="Bilde 2" descr="H:\maler 360\finans norge (F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aler 360\finans norge (FNO).png"/>
                  <pic:cNvPicPr>
                    <a:picLocks noChangeAspect="1" noChangeArrowheads="1"/>
                  </pic:cNvPicPr>
                </pic:nvPicPr>
                <pic:blipFill>
                  <a:blip r:embed="rId1"/>
                  <a:srcRect b="-32130"/>
                  <a:stretch>
                    <a:fillRect/>
                  </a:stretch>
                </pic:blipFill>
                <pic:spPr bwMode="auto">
                  <a:xfrm>
                    <a:off x="0" y="0"/>
                    <a:ext cx="1253420" cy="211667"/>
                  </a:xfrm>
                  <a:prstGeom prst="rect">
                    <a:avLst/>
                  </a:prstGeom>
                  <a:solidFill>
                    <a:schemeClr val="bg1"/>
                  </a:solidFill>
                  <a:ln w="9525">
                    <a:noFill/>
                    <a:miter lim="800000"/>
                    <a:headEnd/>
                    <a:tailEnd/>
                  </a:ln>
                </pic:spPr>
              </pic:pic>
            </a:graphicData>
          </a:graphic>
        </wp:anchor>
      </w:drawing>
    </w:r>
    <w:r w:rsidR="00801296" w:rsidRPr="00801296">
      <w:rPr>
        <w:noProof/>
      </w:rPr>
      <w:drawing>
        <wp:anchor distT="0" distB="0" distL="114300" distR="114300" simplePos="0" relativeHeight="251661312" behindDoc="0" locked="0" layoutInCell="1" allowOverlap="1">
          <wp:simplePos x="0" y="0"/>
          <wp:positionH relativeFrom="column">
            <wp:posOffset>4484542</wp:posOffset>
          </wp:positionH>
          <wp:positionV relativeFrom="paragraph">
            <wp:posOffset>47221</wp:posOffset>
          </wp:positionV>
          <wp:extent cx="1256783" cy="290670"/>
          <wp:effectExtent l="19050" t="0" r="1905" b="0"/>
          <wp:wrapNone/>
          <wp:docPr id="4" name="Bilde 11" descr="sp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f.jpg"/>
                  <pic:cNvPicPr/>
                </pic:nvPicPr>
                <pic:blipFill>
                  <a:blip r:embed="rId2"/>
                  <a:stretch>
                    <a:fillRect/>
                  </a:stretch>
                </pic:blipFill>
                <pic:spPr>
                  <a:xfrm>
                    <a:off x="0" y="0"/>
                    <a:ext cx="1255395" cy="287655"/>
                  </a:xfrm>
                  <a:prstGeom prst="rect">
                    <a:avLst/>
                  </a:prstGeom>
                </pic:spPr>
              </pic:pic>
            </a:graphicData>
          </a:graphic>
        </wp:anchor>
      </w:drawing>
    </w:r>
    <w:r w:rsidR="00801296" w:rsidRPr="00801296">
      <w:rPr>
        <w:noProof/>
      </w:rPr>
      <w:drawing>
        <wp:anchor distT="0" distB="0" distL="114300" distR="114300" simplePos="0" relativeHeight="251663360" behindDoc="0" locked="0" layoutInCell="1" allowOverlap="1">
          <wp:simplePos x="0" y="0"/>
          <wp:positionH relativeFrom="column">
            <wp:posOffset>112378</wp:posOffset>
          </wp:positionH>
          <wp:positionV relativeFrom="paragraph">
            <wp:posOffset>119889</wp:posOffset>
          </wp:positionV>
          <wp:extent cx="1125464" cy="211947"/>
          <wp:effectExtent l="19050" t="0" r="0" b="0"/>
          <wp:wrapNone/>
          <wp:docPr id="5" name="Bilde 10" descr="f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h.jpg"/>
                  <pic:cNvPicPr/>
                </pic:nvPicPr>
                <pic:blipFill>
                  <a:blip r:embed="rId3"/>
                  <a:stretch>
                    <a:fillRect/>
                  </a:stretch>
                </pic:blipFill>
                <pic:spPr>
                  <a:xfrm>
                    <a:off x="0" y="0"/>
                    <a:ext cx="1123950" cy="2114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4A" w:rsidRDefault="00E6414A" w:rsidP="00B479AE">
      <w:pPr>
        <w:spacing w:after="0" w:line="240" w:lineRule="auto"/>
      </w:pPr>
      <w:r>
        <w:separator/>
      </w:r>
    </w:p>
  </w:footnote>
  <w:footnote w:type="continuationSeparator" w:id="0">
    <w:p w:rsidR="00E6414A" w:rsidRDefault="00E6414A" w:rsidP="00B47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96" w:rsidRDefault="00801296">
    <w:pPr>
      <w:pStyle w:val="Topptekst"/>
    </w:pPr>
    <w:r w:rsidRPr="00801296">
      <w:rPr>
        <w:noProof/>
      </w:rPr>
      <w:drawing>
        <wp:anchor distT="0" distB="0" distL="114300" distR="114300" simplePos="0" relativeHeight="251659264" behindDoc="0" locked="0" layoutInCell="1" allowOverlap="1">
          <wp:simplePos x="0" y="0"/>
          <wp:positionH relativeFrom="column">
            <wp:posOffset>3943301</wp:posOffset>
          </wp:positionH>
          <wp:positionV relativeFrom="paragraph">
            <wp:posOffset>-115472</wp:posOffset>
          </wp:positionV>
          <wp:extent cx="2307981" cy="445477"/>
          <wp:effectExtent l="19050" t="0" r="0" b="0"/>
          <wp:wrapNone/>
          <wp:docPr id="1" name="Bilde 1" descr="FinansNo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Norge logo.jpg"/>
                  <pic:cNvPicPr/>
                </pic:nvPicPr>
                <pic:blipFill>
                  <a:blip r:embed="rId1"/>
                  <a:stretch>
                    <a:fillRect/>
                  </a:stretch>
                </pic:blipFill>
                <pic:spPr>
                  <a:xfrm>
                    <a:off x="0" y="0"/>
                    <a:ext cx="2307981" cy="445477"/>
                  </a:xfrm>
                  <a:prstGeom prst="rect">
                    <a:avLst/>
                  </a:prstGeom>
                </pic:spPr>
              </pic:pic>
            </a:graphicData>
          </a:graphic>
        </wp:anchor>
      </w:drawing>
    </w:r>
  </w:p>
  <w:p w:rsidR="00801296" w:rsidRDefault="00801296">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1"/>
  <w:defaultTabStop w:val="708"/>
  <w:hyphenationZone w:val="425"/>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E1323"/>
    <w:rsid w:val="001B4C8B"/>
    <w:rsid w:val="002D5F94"/>
    <w:rsid w:val="003B48B0"/>
    <w:rsid w:val="00464909"/>
    <w:rsid w:val="00466BD6"/>
    <w:rsid w:val="00597205"/>
    <w:rsid w:val="005A4840"/>
    <w:rsid w:val="005E6247"/>
    <w:rsid w:val="00706B45"/>
    <w:rsid w:val="00712668"/>
    <w:rsid w:val="00724D2F"/>
    <w:rsid w:val="007C24C8"/>
    <w:rsid w:val="00801296"/>
    <w:rsid w:val="009D4186"/>
    <w:rsid w:val="00B479AE"/>
    <w:rsid w:val="00B87573"/>
    <w:rsid w:val="00BE1323"/>
    <w:rsid w:val="00E6414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23"/>
    <w:rPr>
      <w:rFonts w:eastAsiaTheme="minorEastAsia"/>
      <w:lang w:eastAsia="nb-NO"/>
    </w:rPr>
  </w:style>
  <w:style w:type="paragraph" w:styleId="Overskrift2">
    <w:name w:val="heading 2"/>
    <w:basedOn w:val="Normal"/>
    <w:next w:val="Normal"/>
    <w:link w:val="Overskrift2Tegn"/>
    <w:uiPriority w:val="9"/>
    <w:unhideWhenUsed/>
    <w:qFormat/>
    <w:rsid w:val="00BE1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E1323"/>
    <w:rPr>
      <w:rFonts w:asciiTheme="majorHAnsi" w:eastAsiaTheme="majorEastAsia" w:hAnsiTheme="majorHAnsi" w:cstheme="majorBidi"/>
      <w:b/>
      <w:bCs/>
      <w:color w:val="4F81BD" w:themeColor="accent1"/>
      <w:sz w:val="26"/>
      <w:szCs w:val="26"/>
      <w:lang w:eastAsia="nb-NO"/>
    </w:rPr>
  </w:style>
  <w:style w:type="paragraph" w:styleId="Tittel">
    <w:name w:val="Title"/>
    <w:basedOn w:val="Normal"/>
    <w:next w:val="Normal"/>
    <w:link w:val="TittelTegn"/>
    <w:uiPriority w:val="10"/>
    <w:qFormat/>
    <w:rsid w:val="00BE13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E1323"/>
    <w:rPr>
      <w:rFonts w:asciiTheme="majorHAnsi" w:eastAsiaTheme="majorEastAsia" w:hAnsiTheme="majorHAnsi" w:cstheme="majorBidi"/>
      <w:color w:val="17365D" w:themeColor="text2" w:themeShade="BF"/>
      <w:spacing w:val="5"/>
      <w:kern w:val="28"/>
      <w:sz w:val="52"/>
      <w:szCs w:val="52"/>
      <w:lang w:eastAsia="nb-NO"/>
    </w:rPr>
  </w:style>
  <w:style w:type="paragraph" w:styleId="Topptekst">
    <w:name w:val="header"/>
    <w:basedOn w:val="Normal"/>
    <w:link w:val="TopptekstTegn"/>
    <w:uiPriority w:val="99"/>
    <w:unhideWhenUsed/>
    <w:rsid w:val="00B479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79AE"/>
    <w:rPr>
      <w:rFonts w:eastAsiaTheme="minorEastAsia"/>
      <w:lang w:eastAsia="nb-NO"/>
    </w:rPr>
  </w:style>
  <w:style w:type="paragraph" w:styleId="Bunntekst">
    <w:name w:val="footer"/>
    <w:basedOn w:val="Normal"/>
    <w:link w:val="BunntekstTegn"/>
    <w:uiPriority w:val="99"/>
    <w:unhideWhenUsed/>
    <w:rsid w:val="00B479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79AE"/>
    <w:rPr>
      <w:rFonts w:eastAsiaTheme="minorEastAsia"/>
      <w:lang w:eastAsia="nb-NO"/>
    </w:rPr>
  </w:style>
  <w:style w:type="paragraph" w:styleId="Bobletekst">
    <w:name w:val="Balloon Text"/>
    <w:basedOn w:val="Normal"/>
    <w:link w:val="BobletekstTegn"/>
    <w:uiPriority w:val="99"/>
    <w:semiHidden/>
    <w:unhideWhenUsed/>
    <w:rsid w:val="00B479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79AE"/>
    <w:rPr>
      <w:rFonts w:ascii="Tahoma" w:eastAsiaTheme="minorEastAsi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23"/>
    <w:rPr>
      <w:rFonts w:eastAsiaTheme="minorEastAsia"/>
      <w:lang w:eastAsia="nb-NO"/>
    </w:rPr>
  </w:style>
  <w:style w:type="paragraph" w:styleId="Overskrift2">
    <w:name w:val="heading 2"/>
    <w:basedOn w:val="Normal"/>
    <w:next w:val="Normal"/>
    <w:link w:val="Overskrift2Tegn"/>
    <w:uiPriority w:val="9"/>
    <w:unhideWhenUsed/>
    <w:qFormat/>
    <w:rsid w:val="00BE1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E1323"/>
    <w:rPr>
      <w:rFonts w:asciiTheme="majorHAnsi" w:eastAsiaTheme="majorEastAsia" w:hAnsiTheme="majorHAnsi" w:cstheme="majorBidi"/>
      <w:b/>
      <w:bCs/>
      <w:color w:val="4F81BD" w:themeColor="accent1"/>
      <w:sz w:val="26"/>
      <w:szCs w:val="26"/>
      <w:lang w:eastAsia="nb-NO"/>
    </w:rPr>
  </w:style>
  <w:style w:type="paragraph" w:styleId="Tittel">
    <w:name w:val="Title"/>
    <w:basedOn w:val="Normal"/>
    <w:next w:val="Normal"/>
    <w:link w:val="TittelTegn"/>
    <w:uiPriority w:val="10"/>
    <w:qFormat/>
    <w:rsid w:val="00BE13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E1323"/>
    <w:rPr>
      <w:rFonts w:asciiTheme="majorHAnsi" w:eastAsiaTheme="majorEastAsia" w:hAnsiTheme="majorHAnsi" w:cstheme="majorBidi"/>
      <w:color w:val="17365D" w:themeColor="text2" w:themeShade="BF"/>
      <w:spacing w:val="5"/>
      <w:kern w:val="28"/>
      <w:sz w:val="52"/>
      <w:szCs w:val="52"/>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1857</Characters>
  <Application>Microsoft Office Word</Application>
  <DocSecurity>8</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IF</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Raanes, Jorunn Stiansen</dc:creator>
  <cp:lastModifiedBy>saursan</cp:lastModifiedBy>
  <cp:revision>2</cp:revision>
  <dcterms:created xsi:type="dcterms:W3CDTF">2014-03-10T14:45:00Z</dcterms:created>
  <dcterms:modified xsi:type="dcterms:W3CDTF">2014-03-10T14:45:00Z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svapp360</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709860</vt:lpwstr>
  </property>
  <property fmtid="{D5CDD505-2E9C-101B-9397-08002B2CF9AE}" pid="7" name="VerID">
    <vt:lpwstr>0</vt:lpwstr>
  </property>
  <property fmtid="{D5CDD505-2E9C-101B-9397-08002B2CF9AE}" pid="8" name="FilePath">
    <vt:lpwstr>\\SVAPP360\360users\work\finans\bkristi</vt:lpwstr>
  </property>
  <property fmtid="{D5CDD505-2E9C-101B-9397-08002B2CF9AE}" pid="9" name="FileName">
    <vt:lpwstr>14-505-1 Vedlegg til Rundskriv 07-14.docx 709860_521836_0.DOCX</vt:lpwstr>
  </property>
  <property fmtid="{D5CDD505-2E9C-101B-9397-08002B2CF9AE}" pid="10" name="FullFileName">
    <vt:lpwstr>\\SVAPP360\360users\work\finans\bkristi\14-505-1 Vedlegg til Rundskriv 07-14.docx 709860_521836_0.DOCX</vt:lpwstr>
  </property>
</Properties>
</file>