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15A2" w14:textId="54927269" w:rsidR="00967288" w:rsidRPr="00C87711" w:rsidRDefault="00967288" w:rsidP="00967288">
      <w:pPr>
        <w:rPr>
          <w:rFonts w:ascii="Merriweather Light" w:hAnsi="Merriweather Light"/>
          <w:b/>
          <w:bCs/>
        </w:rPr>
      </w:pPr>
      <w:r w:rsidRPr="00C87711">
        <w:rPr>
          <w:rFonts w:ascii="Merriweather Light" w:hAnsi="Merriweather Light"/>
          <w:b/>
          <w:bCs/>
        </w:rPr>
        <w:t xml:space="preserve">Mal for </w:t>
      </w:r>
      <w:r>
        <w:rPr>
          <w:rFonts w:ascii="Merriweather Light" w:hAnsi="Merriweather Light"/>
          <w:b/>
          <w:bCs/>
        </w:rPr>
        <w:t>taksonomi</w:t>
      </w:r>
      <w:r w:rsidRPr="00C87711">
        <w:rPr>
          <w:rFonts w:ascii="Merriweather Light" w:hAnsi="Merriweather Light"/>
          <w:b/>
          <w:bCs/>
        </w:rPr>
        <w:t xml:space="preserve">rapportering, </w:t>
      </w:r>
      <w:r>
        <w:rPr>
          <w:rFonts w:ascii="Merriweather Light" w:hAnsi="Merriweather Light"/>
          <w:b/>
          <w:bCs/>
        </w:rPr>
        <w:t>forslag mal skadeforsikring</w:t>
      </w:r>
    </w:p>
    <w:p w14:paraId="2A52C839" w14:textId="19D0E1FD" w:rsidR="00F86CB1" w:rsidRDefault="00F86CB1"/>
    <w:p w14:paraId="7D7A5D3B" w14:textId="77777777" w:rsidR="00967288" w:rsidRDefault="009672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30"/>
        <w:gridCol w:w="1744"/>
        <w:gridCol w:w="1488"/>
      </w:tblGrid>
      <w:tr w:rsidR="00967288" w14:paraId="15E82CFE" w14:textId="1F66ED3F" w:rsidTr="00967288">
        <w:tc>
          <w:tcPr>
            <w:tcW w:w="5830" w:type="dxa"/>
            <w:shd w:val="clear" w:color="auto" w:fill="E2EFD9" w:themeFill="accent6" w:themeFillTint="33"/>
          </w:tcPr>
          <w:p w14:paraId="79D2B7C7" w14:textId="5DDD47AC" w:rsidR="00967288" w:rsidRDefault="00967288">
            <w:r>
              <w:t>Aktiviteter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23E150DE" w14:textId="37700377" w:rsidR="00967288" w:rsidRDefault="00967288">
            <w:r>
              <w:t>Andel av totale aktiviteter %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4AA83DD0" w14:textId="31C40343" w:rsidR="00967288" w:rsidRDefault="00967288">
            <w:r>
              <w:t xml:space="preserve">Eksponering i </w:t>
            </w:r>
            <w:proofErr w:type="spellStart"/>
            <w:r>
              <w:t>mNOK</w:t>
            </w:r>
            <w:proofErr w:type="spellEnd"/>
          </w:p>
        </w:tc>
      </w:tr>
      <w:tr w:rsidR="00967288" w14:paraId="131887FD" w14:textId="3ED7F7A2" w:rsidTr="00967288">
        <w:tc>
          <w:tcPr>
            <w:tcW w:w="5830" w:type="dxa"/>
          </w:tcPr>
          <w:p w14:paraId="0712C5AC" w14:textId="2DFE7436" w:rsidR="00967288" w:rsidRDefault="00967288">
            <w:r>
              <w:t>Skadeforsikringsaktiviteter og reassuranse omfattet av taksonomien</w:t>
            </w:r>
          </w:p>
        </w:tc>
        <w:tc>
          <w:tcPr>
            <w:tcW w:w="1744" w:type="dxa"/>
          </w:tcPr>
          <w:p w14:paraId="76361034" w14:textId="77777777" w:rsidR="00967288" w:rsidRDefault="00967288"/>
        </w:tc>
        <w:tc>
          <w:tcPr>
            <w:tcW w:w="1488" w:type="dxa"/>
          </w:tcPr>
          <w:p w14:paraId="7E43DED6" w14:textId="77777777" w:rsidR="00967288" w:rsidRDefault="00967288"/>
        </w:tc>
      </w:tr>
      <w:tr w:rsidR="00967288" w14:paraId="1A971F5E" w14:textId="3A8AF693" w:rsidTr="00967288">
        <w:tc>
          <w:tcPr>
            <w:tcW w:w="5830" w:type="dxa"/>
          </w:tcPr>
          <w:p w14:paraId="2F25BA5F" w14:textId="568D6AA3" w:rsidR="00967288" w:rsidRPr="00F86CB1" w:rsidRDefault="00967288">
            <w:r>
              <w:t xml:space="preserve">Skadeforsikringsaktiviteter og reassuranse </w:t>
            </w:r>
            <w:r>
              <w:rPr>
                <w:i/>
                <w:iCs/>
              </w:rPr>
              <w:t xml:space="preserve">ikke </w:t>
            </w:r>
            <w:r>
              <w:t>omfattet av taksonomien</w:t>
            </w:r>
          </w:p>
        </w:tc>
        <w:tc>
          <w:tcPr>
            <w:tcW w:w="1744" w:type="dxa"/>
          </w:tcPr>
          <w:p w14:paraId="556B9099" w14:textId="77777777" w:rsidR="00967288" w:rsidRDefault="00967288"/>
        </w:tc>
        <w:tc>
          <w:tcPr>
            <w:tcW w:w="1488" w:type="dxa"/>
          </w:tcPr>
          <w:p w14:paraId="002236B4" w14:textId="77777777" w:rsidR="00967288" w:rsidRDefault="00967288"/>
        </w:tc>
      </w:tr>
    </w:tbl>
    <w:p w14:paraId="2C9A68BC" w14:textId="6C7FAB59" w:rsidR="00F86CB1" w:rsidRDefault="00F86CB1"/>
    <w:p w14:paraId="78DD75D5" w14:textId="3246A7B6" w:rsidR="00323466" w:rsidRDefault="00323466">
      <w:r>
        <w:t xml:space="preserve">Skadeforsikringsaktiviteter omfattet av taksonomien, per </w:t>
      </w:r>
      <w:r w:rsidR="00601EA5">
        <w:t xml:space="preserve">forsikringsdekning («line </w:t>
      </w:r>
      <w:proofErr w:type="spellStart"/>
      <w:r w:rsidR="00601EA5">
        <w:t>of</w:t>
      </w:r>
      <w:proofErr w:type="spellEnd"/>
      <w:r w:rsidR="00601EA5">
        <w:t xml:space="preserve"> business»)</w:t>
      </w:r>
    </w:p>
    <w:p w14:paraId="5B9CD05A" w14:textId="29F1E15E" w:rsidR="00601EA5" w:rsidRDefault="00601E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601EA5" w14:paraId="00EA01C7" w14:textId="77777777" w:rsidTr="00967288">
        <w:tc>
          <w:tcPr>
            <w:tcW w:w="4106" w:type="dxa"/>
            <w:shd w:val="clear" w:color="auto" w:fill="E2EFD9" w:themeFill="accent6" w:themeFillTint="33"/>
          </w:tcPr>
          <w:p w14:paraId="047E77C3" w14:textId="7299AD9D" w:rsidR="00601EA5" w:rsidRDefault="00601EA5"/>
        </w:tc>
        <w:tc>
          <w:tcPr>
            <w:tcW w:w="2693" w:type="dxa"/>
            <w:shd w:val="clear" w:color="auto" w:fill="E2EFD9" w:themeFill="accent6" w:themeFillTint="33"/>
          </w:tcPr>
          <w:p w14:paraId="02C52A8B" w14:textId="244704C8" w:rsidR="00601EA5" w:rsidRDefault="00677CEA">
            <w:r>
              <w:t>Bruttopremie</w:t>
            </w:r>
            <w:r w:rsidR="00113A03">
              <w:t xml:space="preserve"> (</w:t>
            </w:r>
            <w:proofErr w:type="spellStart"/>
            <w:r w:rsidR="00113A03">
              <w:t>mNOK</w:t>
            </w:r>
            <w:proofErr w:type="spellEnd"/>
            <w:r w:rsidR="00113A03">
              <w:t>)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60FDBA89" w14:textId="38670C7F" w:rsidR="00601EA5" w:rsidRDefault="00113A03">
            <w:r>
              <w:t>% av total bruttopremie</w:t>
            </w:r>
          </w:p>
        </w:tc>
      </w:tr>
      <w:tr w:rsidR="00242568" w14:paraId="3CD46032" w14:textId="77777777" w:rsidTr="00113A03">
        <w:tc>
          <w:tcPr>
            <w:tcW w:w="4106" w:type="dxa"/>
          </w:tcPr>
          <w:p w14:paraId="2C52D7E8" w14:textId="392B5C82" w:rsidR="00242568" w:rsidRDefault="00242568" w:rsidP="00242568">
            <w:r>
              <w:t>Utgifter til medisinsk behandling</w:t>
            </w:r>
          </w:p>
        </w:tc>
        <w:tc>
          <w:tcPr>
            <w:tcW w:w="2693" w:type="dxa"/>
          </w:tcPr>
          <w:p w14:paraId="0131A3FF" w14:textId="77777777" w:rsidR="00242568" w:rsidRDefault="00242568" w:rsidP="00242568"/>
        </w:tc>
        <w:tc>
          <w:tcPr>
            <w:tcW w:w="2263" w:type="dxa"/>
          </w:tcPr>
          <w:p w14:paraId="686D1BE7" w14:textId="77777777" w:rsidR="00242568" w:rsidRDefault="00242568" w:rsidP="00242568"/>
        </w:tc>
      </w:tr>
      <w:tr w:rsidR="00242568" w14:paraId="1FE9D5FB" w14:textId="77777777" w:rsidTr="00113A03">
        <w:tc>
          <w:tcPr>
            <w:tcW w:w="4106" w:type="dxa"/>
          </w:tcPr>
          <w:p w14:paraId="3A7B41BF" w14:textId="4F88B1EE" w:rsidR="00242568" w:rsidRDefault="00242568" w:rsidP="00242568">
            <w:r>
              <w:t>Inntektstap</w:t>
            </w:r>
          </w:p>
        </w:tc>
        <w:tc>
          <w:tcPr>
            <w:tcW w:w="2693" w:type="dxa"/>
          </w:tcPr>
          <w:p w14:paraId="2595FF3A" w14:textId="77777777" w:rsidR="00242568" w:rsidRDefault="00242568" w:rsidP="00242568"/>
        </w:tc>
        <w:tc>
          <w:tcPr>
            <w:tcW w:w="2263" w:type="dxa"/>
          </w:tcPr>
          <w:p w14:paraId="066D0873" w14:textId="77777777" w:rsidR="00242568" w:rsidRDefault="00242568" w:rsidP="00242568"/>
        </w:tc>
      </w:tr>
      <w:tr w:rsidR="00242568" w14:paraId="73C9E47D" w14:textId="77777777" w:rsidTr="00113A03">
        <w:tc>
          <w:tcPr>
            <w:tcW w:w="4106" w:type="dxa"/>
          </w:tcPr>
          <w:p w14:paraId="68C2CC7B" w14:textId="4A1ED4F9" w:rsidR="00242568" w:rsidRDefault="00242568" w:rsidP="00242568">
            <w:r>
              <w:t>Yrkesskadeforsikring</w:t>
            </w:r>
          </w:p>
        </w:tc>
        <w:tc>
          <w:tcPr>
            <w:tcW w:w="2693" w:type="dxa"/>
          </w:tcPr>
          <w:p w14:paraId="142B83C5" w14:textId="77777777" w:rsidR="00242568" w:rsidRDefault="00242568" w:rsidP="00242568"/>
        </w:tc>
        <w:tc>
          <w:tcPr>
            <w:tcW w:w="2263" w:type="dxa"/>
          </w:tcPr>
          <w:p w14:paraId="646AE46C" w14:textId="77777777" w:rsidR="00242568" w:rsidRDefault="00242568" w:rsidP="00242568"/>
        </w:tc>
      </w:tr>
      <w:tr w:rsidR="00242568" w14:paraId="526E23A1" w14:textId="77777777" w:rsidTr="00113A03">
        <w:tc>
          <w:tcPr>
            <w:tcW w:w="4106" w:type="dxa"/>
          </w:tcPr>
          <w:p w14:paraId="234F86C6" w14:textId="1BDD224F" w:rsidR="00242568" w:rsidRDefault="00242568" w:rsidP="00242568">
            <w:r w:rsidRPr="00B65991">
              <w:t>Ansvarsforsikring motorvogn</w:t>
            </w:r>
          </w:p>
        </w:tc>
        <w:tc>
          <w:tcPr>
            <w:tcW w:w="2693" w:type="dxa"/>
          </w:tcPr>
          <w:p w14:paraId="3CF21B0B" w14:textId="77777777" w:rsidR="00242568" w:rsidRDefault="00242568" w:rsidP="00242568"/>
        </w:tc>
        <w:tc>
          <w:tcPr>
            <w:tcW w:w="2263" w:type="dxa"/>
          </w:tcPr>
          <w:p w14:paraId="2F0448EB" w14:textId="77777777" w:rsidR="00242568" w:rsidRDefault="00242568" w:rsidP="00242568"/>
        </w:tc>
      </w:tr>
      <w:tr w:rsidR="00242568" w14:paraId="22237384" w14:textId="77777777" w:rsidTr="00113A03">
        <w:tc>
          <w:tcPr>
            <w:tcW w:w="4106" w:type="dxa"/>
          </w:tcPr>
          <w:p w14:paraId="6659C388" w14:textId="0D79FFFA" w:rsidR="00242568" w:rsidRDefault="00242568" w:rsidP="00242568">
            <w:r w:rsidRPr="00B65991">
              <w:t>Annen skade motorvogn</w:t>
            </w:r>
          </w:p>
        </w:tc>
        <w:tc>
          <w:tcPr>
            <w:tcW w:w="2693" w:type="dxa"/>
          </w:tcPr>
          <w:p w14:paraId="1CAF35C4" w14:textId="77777777" w:rsidR="00242568" w:rsidRDefault="00242568" w:rsidP="00242568"/>
        </w:tc>
        <w:tc>
          <w:tcPr>
            <w:tcW w:w="2263" w:type="dxa"/>
          </w:tcPr>
          <w:p w14:paraId="08AE4F43" w14:textId="77777777" w:rsidR="00242568" w:rsidRDefault="00242568" w:rsidP="00242568"/>
        </w:tc>
      </w:tr>
      <w:tr w:rsidR="00242568" w14:paraId="2D65A21C" w14:textId="77777777" w:rsidTr="00113A03">
        <w:tc>
          <w:tcPr>
            <w:tcW w:w="4106" w:type="dxa"/>
          </w:tcPr>
          <w:p w14:paraId="67DB538F" w14:textId="1C5DD40B" w:rsidR="00242568" w:rsidRPr="00B65991" w:rsidRDefault="00242568" w:rsidP="00242568">
            <w:r w:rsidRPr="00B65991">
              <w:t>Sjø-, luftfarts- og transportforsikring</w:t>
            </w:r>
          </w:p>
        </w:tc>
        <w:tc>
          <w:tcPr>
            <w:tcW w:w="2693" w:type="dxa"/>
          </w:tcPr>
          <w:p w14:paraId="6421802B" w14:textId="77777777" w:rsidR="00242568" w:rsidRDefault="00242568" w:rsidP="00242568"/>
        </w:tc>
        <w:tc>
          <w:tcPr>
            <w:tcW w:w="2263" w:type="dxa"/>
          </w:tcPr>
          <w:p w14:paraId="743EEF0C" w14:textId="77777777" w:rsidR="00242568" w:rsidRDefault="00242568" w:rsidP="00242568"/>
        </w:tc>
      </w:tr>
      <w:tr w:rsidR="00242568" w14:paraId="1EC93F18" w14:textId="77777777" w:rsidTr="00113A03">
        <w:tc>
          <w:tcPr>
            <w:tcW w:w="4106" w:type="dxa"/>
          </w:tcPr>
          <w:p w14:paraId="13524169" w14:textId="569C62A4" w:rsidR="00242568" w:rsidRPr="00B65991" w:rsidRDefault="00242568" w:rsidP="00242568">
            <w:r w:rsidRPr="00B65991">
              <w:t>Brann og andre skader på eiendom</w:t>
            </w:r>
          </w:p>
        </w:tc>
        <w:tc>
          <w:tcPr>
            <w:tcW w:w="2693" w:type="dxa"/>
          </w:tcPr>
          <w:p w14:paraId="55A41337" w14:textId="77777777" w:rsidR="00242568" w:rsidRDefault="00242568" w:rsidP="00242568"/>
        </w:tc>
        <w:tc>
          <w:tcPr>
            <w:tcW w:w="2263" w:type="dxa"/>
          </w:tcPr>
          <w:p w14:paraId="1281F60E" w14:textId="77777777" w:rsidR="00242568" w:rsidRDefault="00242568" w:rsidP="00242568"/>
        </w:tc>
      </w:tr>
      <w:tr w:rsidR="00242568" w14:paraId="21B4EBDD" w14:textId="77777777" w:rsidTr="00113A03">
        <w:tc>
          <w:tcPr>
            <w:tcW w:w="4106" w:type="dxa"/>
          </w:tcPr>
          <w:p w14:paraId="3F9BFB13" w14:textId="488113B5" w:rsidR="00242568" w:rsidRPr="00B65991" w:rsidRDefault="00242568" w:rsidP="00242568">
            <w:r w:rsidRPr="00B65991">
              <w:t>Assistanse (reiseforsikring)</w:t>
            </w:r>
          </w:p>
        </w:tc>
        <w:tc>
          <w:tcPr>
            <w:tcW w:w="2693" w:type="dxa"/>
          </w:tcPr>
          <w:p w14:paraId="5DFBD4DA" w14:textId="77777777" w:rsidR="00242568" w:rsidRDefault="00242568" w:rsidP="00242568"/>
        </w:tc>
        <w:tc>
          <w:tcPr>
            <w:tcW w:w="2263" w:type="dxa"/>
          </w:tcPr>
          <w:p w14:paraId="21219DF1" w14:textId="77777777" w:rsidR="00242568" w:rsidRDefault="00242568" w:rsidP="00242568"/>
        </w:tc>
      </w:tr>
    </w:tbl>
    <w:p w14:paraId="3F5F905D" w14:textId="77777777" w:rsidR="00601EA5" w:rsidRDefault="00601EA5"/>
    <w:p w14:paraId="69066D34" w14:textId="16F1F767" w:rsidR="00A8320A" w:rsidRDefault="00A8320A" w:rsidP="00B9399A">
      <w:r>
        <w:t>Alternativ 1:</w:t>
      </w:r>
    </w:p>
    <w:p w14:paraId="0289A789" w14:textId="10FA2FBF" w:rsidR="00B9399A" w:rsidRDefault="00B9399A" w:rsidP="00B9399A">
      <w:r>
        <w:t xml:space="preserve">Reassuranse omfattet av taksonomien, per forsikringsdekning («line </w:t>
      </w:r>
      <w:proofErr w:type="spellStart"/>
      <w:r>
        <w:t>of</w:t>
      </w:r>
      <w:proofErr w:type="spellEnd"/>
      <w:r>
        <w:t xml:space="preserve"> business»)</w:t>
      </w:r>
    </w:p>
    <w:p w14:paraId="71C0CCDC" w14:textId="63ECFC88" w:rsidR="004D01C1" w:rsidRDefault="004D01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2D6258" w14:paraId="69034E6D" w14:textId="77777777" w:rsidTr="008509AC">
        <w:tc>
          <w:tcPr>
            <w:tcW w:w="4106" w:type="dxa"/>
            <w:shd w:val="clear" w:color="auto" w:fill="E2EFD9" w:themeFill="accent6" w:themeFillTint="33"/>
          </w:tcPr>
          <w:p w14:paraId="4D53F013" w14:textId="1EDDA09A" w:rsidR="002D6258" w:rsidRDefault="002D6258"/>
        </w:tc>
        <w:tc>
          <w:tcPr>
            <w:tcW w:w="2693" w:type="dxa"/>
            <w:shd w:val="clear" w:color="auto" w:fill="E2EFD9" w:themeFill="accent6" w:themeFillTint="33"/>
          </w:tcPr>
          <w:p w14:paraId="282DDFBF" w14:textId="72DFDEA2" w:rsidR="002D6258" w:rsidRDefault="00E916E3">
            <w:r>
              <w:t>Bruttopremie (</w:t>
            </w:r>
            <w:proofErr w:type="spellStart"/>
            <w:r>
              <w:t>mNOK</w:t>
            </w:r>
            <w:proofErr w:type="spellEnd"/>
            <w:r>
              <w:t>)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02ED69DF" w14:textId="661B7C69" w:rsidR="002D6258" w:rsidRDefault="00E916E3">
            <w:r>
              <w:t>% av total bruttopremie</w:t>
            </w:r>
          </w:p>
        </w:tc>
      </w:tr>
      <w:tr w:rsidR="00242568" w14:paraId="1871830F" w14:textId="77777777" w:rsidTr="00E916E3">
        <w:tc>
          <w:tcPr>
            <w:tcW w:w="4106" w:type="dxa"/>
          </w:tcPr>
          <w:p w14:paraId="3EE49134" w14:textId="6932828A" w:rsidR="00242568" w:rsidRDefault="00242568" w:rsidP="00242568">
            <w:r>
              <w:t>Andel av aktiviteter omfattet av taksonomien som er gjenforsikret</w:t>
            </w:r>
          </w:p>
        </w:tc>
        <w:tc>
          <w:tcPr>
            <w:tcW w:w="2693" w:type="dxa"/>
          </w:tcPr>
          <w:p w14:paraId="61A34E0E" w14:textId="77777777" w:rsidR="00242568" w:rsidRDefault="00242568" w:rsidP="00242568"/>
        </w:tc>
        <w:tc>
          <w:tcPr>
            <w:tcW w:w="2263" w:type="dxa"/>
          </w:tcPr>
          <w:p w14:paraId="50F66AF1" w14:textId="77777777" w:rsidR="00242568" w:rsidRDefault="00242568" w:rsidP="00242568"/>
        </w:tc>
      </w:tr>
      <w:tr w:rsidR="00242568" w14:paraId="1EC4B8DE" w14:textId="77777777" w:rsidTr="00E916E3">
        <w:tc>
          <w:tcPr>
            <w:tcW w:w="4106" w:type="dxa"/>
          </w:tcPr>
          <w:p w14:paraId="4A445431" w14:textId="51C6C7F7" w:rsidR="00242568" w:rsidRDefault="00242568" w:rsidP="00242568">
            <w:r>
              <w:t>Andel av aktiviteter omfattet av taksonomien som kommer fra reassuranseaktiviteter</w:t>
            </w:r>
          </w:p>
        </w:tc>
        <w:tc>
          <w:tcPr>
            <w:tcW w:w="2693" w:type="dxa"/>
          </w:tcPr>
          <w:p w14:paraId="3A5EA7C7" w14:textId="77777777" w:rsidR="00242568" w:rsidRDefault="00242568" w:rsidP="00242568"/>
        </w:tc>
        <w:tc>
          <w:tcPr>
            <w:tcW w:w="2263" w:type="dxa"/>
          </w:tcPr>
          <w:p w14:paraId="5C575E2D" w14:textId="77777777" w:rsidR="00242568" w:rsidRDefault="00242568" w:rsidP="00242568"/>
        </w:tc>
      </w:tr>
      <w:tr w:rsidR="00242568" w14:paraId="1575A6C3" w14:textId="77777777" w:rsidTr="00E916E3">
        <w:tc>
          <w:tcPr>
            <w:tcW w:w="4106" w:type="dxa"/>
          </w:tcPr>
          <w:p w14:paraId="54A64E8B" w14:textId="51F234C8" w:rsidR="00242568" w:rsidRDefault="00242568" w:rsidP="00242568">
            <w:r>
              <w:t>Andel av aktiviteter omfattet av taksonomien som er gjenforsikret (retrosesjon/tilbaketrekning)</w:t>
            </w:r>
          </w:p>
        </w:tc>
        <w:tc>
          <w:tcPr>
            <w:tcW w:w="2693" w:type="dxa"/>
          </w:tcPr>
          <w:p w14:paraId="0B200576" w14:textId="77777777" w:rsidR="00242568" w:rsidRDefault="00242568" w:rsidP="00242568"/>
        </w:tc>
        <w:tc>
          <w:tcPr>
            <w:tcW w:w="2263" w:type="dxa"/>
          </w:tcPr>
          <w:p w14:paraId="667E46F9" w14:textId="77777777" w:rsidR="00242568" w:rsidRDefault="00242568" w:rsidP="00242568"/>
        </w:tc>
      </w:tr>
    </w:tbl>
    <w:p w14:paraId="15A0D689" w14:textId="47795BDC" w:rsidR="00B9399A" w:rsidRDefault="00B9399A"/>
    <w:p w14:paraId="133C7250" w14:textId="77777777" w:rsidR="00A8320A" w:rsidRDefault="00A8320A">
      <w:r>
        <w:t>Alternativ 2:</w:t>
      </w:r>
    </w:p>
    <w:p w14:paraId="15C5E675" w14:textId="5DDD70C7" w:rsidR="0024585D" w:rsidRDefault="0081463B">
      <w:r>
        <w:t xml:space="preserve">Reassuranseaktiviteter omfattet av taksonomien, per forsikringsdekning («line </w:t>
      </w:r>
      <w:proofErr w:type="spellStart"/>
      <w:r>
        <w:t>of</w:t>
      </w:r>
      <w:proofErr w:type="spellEnd"/>
      <w:r>
        <w:t xml:space="preserve"> business»)</w:t>
      </w:r>
    </w:p>
    <w:p w14:paraId="1B2C0049" w14:textId="77777777" w:rsidR="0081463B" w:rsidRDefault="008146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24585D" w14:paraId="74DC1D59" w14:textId="77777777" w:rsidTr="008509AC">
        <w:tc>
          <w:tcPr>
            <w:tcW w:w="4106" w:type="dxa"/>
            <w:shd w:val="clear" w:color="auto" w:fill="E2EFD9" w:themeFill="accent6" w:themeFillTint="33"/>
          </w:tcPr>
          <w:p w14:paraId="08CBCB56" w14:textId="6BA0A47E" w:rsidR="0024585D" w:rsidRDefault="0024585D" w:rsidP="00CB1F9A"/>
        </w:tc>
        <w:tc>
          <w:tcPr>
            <w:tcW w:w="2693" w:type="dxa"/>
            <w:shd w:val="clear" w:color="auto" w:fill="E2EFD9" w:themeFill="accent6" w:themeFillTint="33"/>
          </w:tcPr>
          <w:p w14:paraId="0D44641C" w14:textId="77777777" w:rsidR="0024585D" w:rsidRDefault="0024585D" w:rsidP="00CB1F9A">
            <w:r>
              <w:t>Bruttopremie (</w:t>
            </w:r>
            <w:proofErr w:type="spellStart"/>
            <w:r>
              <w:t>mNOK</w:t>
            </w:r>
            <w:proofErr w:type="spellEnd"/>
            <w:r>
              <w:t>)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13C12CB0" w14:textId="77777777" w:rsidR="0024585D" w:rsidRDefault="0024585D" w:rsidP="00CB1F9A">
            <w:r>
              <w:t>% av total bruttopremie</w:t>
            </w:r>
          </w:p>
        </w:tc>
      </w:tr>
      <w:tr w:rsidR="00242568" w14:paraId="754D04DE" w14:textId="77777777" w:rsidTr="00CB1F9A">
        <w:tc>
          <w:tcPr>
            <w:tcW w:w="4106" w:type="dxa"/>
          </w:tcPr>
          <w:p w14:paraId="3B5ECF20" w14:textId="3A6FDFEC" w:rsidR="00242568" w:rsidRDefault="00A8320A" w:rsidP="00242568">
            <w:r>
              <w:t>Marin-, fly- og transportforsikring</w:t>
            </w:r>
          </w:p>
        </w:tc>
        <w:tc>
          <w:tcPr>
            <w:tcW w:w="2693" w:type="dxa"/>
          </w:tcPr>
          <w:p w14:paraId="3F3CD8C4" w14:textId="77777777" w:rsidR="00242568" w:rsidRDefault="00242568" w:rsidP="00242568"/>
        </w:tc>
        <w:tc>
          <w:tcPr>
            <w:tcW w:w="2263" w:type="dxa"/>
          </w:tcPr>
          <w:p w14:paraId="1C549E63" w14:textId="77777777" w:rsidR="00242568" w:rsidRDefault="00242568" w:rsidP="00242568"/>
        </w:tc>
      </w:tr>
      <w:tr w:rsidR="00242568" w14:paraId="7ECADC7B" w14:textId="77777777" w:rsidTr="00CB1F9A">
        <w:tc>
          <w:tcPr>
            <w:tcW w:w="4106" w:type="dxa"/>
          </w:tcPr>
          <w:p w14:paraId="26C0AEBD" w14:textId="38082CFF" w:rsidR="00242568" w:rsidRDefault="00FD6262" w:rsidP="00242568">
            <w:r>
              <w:t>Brann og annen skade på eiendom</w:t>
            </w:r>
          </w:p>
        </w:tc>
        <w:tc>
          <w:tcPr>
            <w:tcW w:w="2693" w:type="dxa"/>
          </w:tcPr>
          <w:p w14:paraId="48FC4653" w14:textId="77777777" w:rsidR="00242568" w:rsidRDefault="00242568" w:rsidP="00242568"/>
        </w:tc>
        <w:tc>
          <w:tcPr>
            <w:tcW w:w="2263" w:type="dxa"/>
          </w:tcPr>
          <w:p w14:paraId="1122CACD" w14:textId="77777777" w:rsidR="00242568" w:rsidRDefault="00242568" w:rsidP="00242568"/>
        </w:tc>
      </w:tr>
    </w:tbl>
    <w:p w14:paraId="0D955158" w14:textId="77777777" w:rsidR="004D01C1" w:rsidRDefault="004D01C1"/>
    <w:p w14:paraId="10FA413F" w14:textId="233DC033" w:rsidR="000A36DB" w:rsidRDefault="00D76CCB">
      <w:r>
        <w:t>I tillegg skal k</w:t>
      </w:r>
      <w:r w:rsidR="000A36DB" w:rsidRPr="000A36DB">
        <w:t>valitativ informa</w:t>
      </w:r>
      <w:r w:rsidR="000A36DB">
        <w:t>sj</w:t>
      </w:r>
      <w:r w:rsidR="000A36DB" w:rsidRPr="000A36DB">
        <w:t xml:space="preserve">on </w:t>
      </w:r>
      <w:r w:rsidR="000A36DB">
        <w:t>rapporteres</w:t>
      </w:r>
      <w:r w:rsidR="000A36DB" w:rsidRPr="000A36DB">
        <w:t xml:space="preserve"> (se artik</w:t>
      </w:r>
      <w:r>
        <w:t>k</w:t>
      </w:r>
      <w:r w:rsidR="000A36DB" w:rsidRPr="000A36DB">
        <w:t>el 10.3 d o</w:t>
      </w:r>
      <w:r>
        <w:t>g</w:t>
      </w:r>
      <w:r w:rsidR="000A36DB" w:rsidRPr="000A36DB">
        <w:t xml:space="preserve"> bilag XI i</w:t>
      </w:r>
      <w:r>
        <w:t xml:space="preserve"> EU-</w:t>
      </w:r>
      <w:r w:rsidR="000A36DB" w:rsidRPr="000A36DB">
        <w:t>kommis</w:t>
      </w:r>
      <w:r>
        <w:t>j</w:t>
      </w:r>
      <w:r w:rsidR="000A36DB" w:rsidRPr="000A36DB">
        <w:t>onens deleger</w:t>
      </w:r>
      <w:r>
        <w:t>t</w:t>
      </w:r>
      <w:r w:rsidR="000A36DB" w:rsidRPr="000A36DB">
        <w:t>e f</w:t>
      </w:r>
      <w:r>
        <w:t>o</w:t>
      </w:r>
      <w:r w:rsidR="000A36DB" w:rsidRPr="000A36DB">
        <w:t>rordning (EU) 2021/2178).</w:t>
      </w:r>
    </w:p>
    <w:p w14:paraId="27830298" w14:textId="215BF91E" w:rsidR="004D01C1" w:rsidRDefault="004D01C1" w:rsidP="004D01C1">
      <w:pPr>
        <w:pStyle w:val="Default"/>
      </w:pPr>
    </w:p>
    <w:p w14:paraId="6070A74C" w14:textId="5CCEFFAD" w:rsidR="00B9399A" w:rsidRDefault="00B9399A" w:rsidP="004D01C1">
      <w:pPr>
        <w:pStyle w:val="Default"/>
      </w:pPr>
    </w:p>
    <w:p w14:paraId="0C336D5D" w14:textId="77777777" w:rsidR="00B9399A" w:rsidRDefault="00B9399A" w:rsidP="004D01C1">
      <w:pPr>
        <w:pStyle w:val="Default"/>
      </w:pPr>
    </w:p>
    <w:sectPr w:rsidR="00B9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 San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f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 Light">
    <w:altName w:val="Merriweather Light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11"/>
    <w:rsid w:val="000275FE"/>
    <w:rsid w:val="000A36DB"/>
    <w:rsid w:val="00113A03"/>
    <w:rsid w:val="00181739"/>
    <w:rsid w:val="00242568"/>
    <w:rsid w:val="0024585D"/>
    <w:rsid w:val="002609FE"/>
    <w:rsid w:val="002D6258"/>
    <w:rsid w:val="002E239A"/>
    <w:rsid w:val="003064DC"/>
    <w:rsid w:val="00323466"/>
    <w:rsid w:val="003A01D2"/>
    <w:rsid w:val="004D01C1"/>
    <w:rsid w:val="0052603B"/>
    <w:rsid w:val="00601EA5"/>
    <w:rsid w:val="00677CEA"/>
    <w:rsid w:val="006845F6"/>
    <w:rsid w:val="006D5363"/>
    <w:rsid w:val="007C608A"/>
    <w:rsid w:val="007D197F"/>
    <w:rsid w:val="00802C63"/>
    <w:rsid w:val="00807677"/>
    <w:rsid w:val="0081463B"/>
    <w:rsid w:val="008509AC"/>
    <w:rsid w:val="008B6B07"/>
    <w:rsid w:val="008D0F88"/>
    <w:rsid w:val="00923F34"/>
    <w:rsid w:val="00967288"/>
    <w:rsid w:val="009E0253"/>
    <w:rsid w:val="00A73157"/>
    <w:rsid w:val="00A8320A"/>
    <w:rsid w:val="00B321FD"/>
    <w:rsid w:val="00B65991"/>
    <w:rsid w:val="00B85480"/>
    <w:rsid w:val="00B9399A"/>
    <w:rsid w:val="00BC2B84"/>
    <w:rsid w:val="00C27D7E"/>
    <w:rsid w:val="00C87711"/>
    <w:rsid w:val="00CD57C3"/>
    <w:rsid w:val="00CF61D8"/>
    <w:rsid w:val="00D60C46"/>
    <w:rsid w:val="00D76CCB"/>
    <w:rsid w:val="00DF433F"/>
    <w:rsid w:val="00E007F6"/>
    <w:rsid w:val="00E916E3"/>
    <w:rsid w:val="00F86CB1"/>
    <w:rsid w:val="00FC5379"/>
    <w:rsid w:val="00FD6262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016"/>
  <w15:chartTrackingRefBased/>
  <w15:docId w15:val="{6A380A94-D1C8-414E-9CE6-4F3D194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1C1"/>
    <w:pPr>
      <w:autoSpaceDE w:val="0"/>
      <w:autoSpaceDN w:val="0"/>
      <w:adjustRightInd w:val="0"/>
    </w:pPr>
    <w:rPr>
      <w:rFonts w:ascii="If Sans Medium" w:hAnsi="If Sans Medium" w:cs="If Sans Medium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4D01C1"/>
    <w:pPr>
      <w:spacing w:line="401" w:lineRule="atLeast"/>
    </w:pPr>
    <w:rPr>
      <w:rFonts w:cstheme="minorBidi"/>
      <w:color w:val="auto"/>
    </w:rPr>
  </w:style>
  <w:style w:type="character" w:customStyle="1" w:styleId="A64">
    <w:name w:val="A64"/>
    <w:uiPriority w:val="99"/>
    <w:rsid w:val="004D01C1"/>
    <w:rPr>
      <w:rFonts w:cs="If Sans Medium"/>
      <w:color w:val="000000"/>
      <w:sz w:val="18"/>
      <w:szCs w:val="18"/>
    </w:rPr>
  </w:style>
  <w:style w:type="paragraph" w:customStyle="1" w:styleId="Pa18">
    <w:name w:val="Pa18"/>
    <w:basedOn w:val="Default"/>
    <w:next w:val="Default"/>
    <w:uiPriority w:val="99"/>
    <w:rsid w:val="004D01C1"/>
    <w:pPr>
      <w:spacing w:line="4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D01C1"/>
    <w:rPr>
      <w:rFonts w:ascii="If Sans Light" w:hAnsi="If Sans Light" w:cs="If Sans Light"/>
      <w:color w:val="000000"/>
      <w:sz w:val="16"/>
      <w:szCs w:val="16"/>
    </w:rPr>
  </w:style>
  <w:style w:type="paragraph" w:customStyle="1" w:styleId="Pa42">
    <w:name w:val="Pa42"/>
    <w:basedOn w:val="Default"/>
    <w:next w:val="Default"/>
    <w:uiPriority w:val="99"/>
    <w:rsid w:val="004D01C1"/>
    <w:pPr>
      <w:spacing w:line="4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7B20-71AF-48EE-9C8E-05B96CB2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Kjøsnes Kristiansen</dc:creator>
  <cp:keywords/>
  <dc:description/>
  <cp:lastModifiedBy>Nina Lædre Wiig</cp:lastModifiedBy>
  <cp:revision>2</cp:revision>
  <dcterms:created xsi:type="dcterms:W3CDTF">2023-05-16T11:26:00Z</dcterms:created>
  <dcterms:modified xsi:type="dcterms:W3CDTF">2023-05-16T11:26:00Z</dcterms:modified>
</cp:coreProperties>
</file>